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CC6C4B" w14:textId="77777777" w:rsidR="00197FE6" w:rsidRPr="006264C4" w:rsidRDefault="00197FE6" w:rsidP="00197FE6">
      <w:pPr>
        <w:pStyle w:val="PUCTLine"/>
        <w:widowControl w:val="0"/>
        <w:rPr>
          <w:position w:val="14"/>
        </w:rPr>
      </w:pPr>
      <w:r w:rsidRPr="006264C4">
        <w:rPr>
          <w:noProof/>
          <w:position w:val="14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2337F410" wp14:editId="349AC887">
                <wp:simplePos x="0" y="0"/>
                <wp:positionH relativeFrom="margin">
                  <wp:align>center</wp:align>
                </wp:positionH>
                <wp:positionV relativeFrom="margin">
                  <wp:posOffset>342900</wp:posOffset>
                </wp:positionV>
                <wp:extent cx="3840480" cy="0"/>
                <wp:effectExtent l="0" t="0" r="0" b="0"/>
                <wp:wrapNone/>
                <wp:docPr id="2054387900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84048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EB1E50D" id="Straight Connector 1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margin;mso-width-percent:0;mso-height-percent:0;mso-width-relative:margin;mso-height-relative:margin" from="0,27pt" to="302.4pt,2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Bbn/ogEAAJIDAAAOAAAAZHJzL2Uyb0RvYy54bWysU01P4zAQvSPxHyzfaVIWraqoKQcQXNAu&#10;WmDvxhk3Fv7S2DTpv9+x04bVfkgIcbH8MfPmvTfj9eVoDdsBRu1dy5eLmjNw0nfabVv+9HhztuIs&#10;JuE6YbyDlu8h8svN6cl6CA2c+96bDpARiIvNEFrepxSaqoqyByviwgdw9Kg8WpHoiNuqQzEQujXV&#10;eV1/rQaPXUAvIUa6vZ4e+abgKwUyfVcqQmKm5cQtlRXL+pzXarMWzRZF6LU80BAfYGGFdlR0hroW&#10;SbBX1H9BWS3RR6/SQnpbeaW0hKKB1CzrP9Q89CJA0ULmxDDbFD8PVn7bXbl7JBuGEJsY7jGrGBVa&#10;powOP6mnRRcxZWOxbT/bBmNiki6/rC7qixW5K49v1QSRoQLGdAvesrxpudEuKxKN2N3FRGUp9BhC&#10;hzcSZZf2BnKwcT9AMd1RsYlOmQ+4Msh2gjrbvSxzJwmrROYUpY2Zk+pS8r9Jh9icBmVm3ps4R5eK&#10;3qU50Wrn8V9V03ikqqb4o+pJa5b97Lt9aUmxgxpflB2GNE/W7+eS/vaVNr8AAAD//wMAUEsDBBQA&#10;BgAIAAAAIQA03HBW2gAAAAYBAAAPAAAAZHJzL2Rvd25yZXYueG1sTI9BT8MwDIXvSPyHyEjcWDro&#10;BpS6EwJx2Y2tEte0MW2hcUqTreXfY8RhnCz7PT1/L9/MrldHGkPnGWG5SEAR19523CCU+5erO1Ah&#10;Gram90wI3xRgU5yf5SazfuJXOu5ioySEQ2YQ2hiHTOtQt+RMWPiBWLR3PzoTZR0bbUczSbjr9XWS&#10;rLUzHcuH1gz01FL9uTs4hLdhul+VfKO/tmWTLp8/bqvtvkK8vJgfH0BFmuPJDL/4gg6FMFX+wDao&#10;HkGKRIRVKlPUdZJKkervoItc/8cvfgAAAP//AwBQSwECLQAUAAYACAAAACEAtoM4kv4AAADhAQAA&#10;EwAAAAAAAAAAAAAAAAAAAAAAW0NvbnRlbnRfVHlwZXNdLnhtbFBLAQItABQABgAIAAAAIQA4/SH/&#10;1gAAAJQBAAALAAAAAAAAAAAAAAAAAC8BAABfcmVscy8ucmVsc1BLAQItABQABgAIAAAAIQCeBbn/&#10;ogEAAJIDAAAOAAAAAAAAAAAAAAAAAC4CAABkcnMvZTJvRG9jLnhtbFBLAQItABQABgAIAAAAIQA0&#10;3HBW2gAAAAYBAAAPAAAAAAAAAAAAAAAAAPwDAABkcnMvZG93bnJldi54bWxQSwUGAAAAAAQABADz&#10;AAAAAwUAAAAA&#10;" strokecolor="black [3200]">
                <v:stroke endcap="round"/>
                <w10:wrap anchorx="margin" anchory="margin"/>
                <w10:anchorlock/>
              </v:line>
            </w:pict>
          </mc:Fallback>
        </mc:AlternateContent>
      </w:r>
      <w:r w:rsidRPr="006264C4">
        <w:rPr>
          <w:position w:val="14"/>
        </w:rPr>
        <w:t>Public Utility Commission of Texas</w:t>
      </w:r>
    </w:p>
    <w:p w14:paraId="55637C72" w14:textId="77777777" w:rsidR="00197FE6" w:rsidRPr="006264C4" w:rsidRDefault="00197FE6" w:rsidP="00197FE6">
      <w:pPr>
        <w:pStyle w:val="MemoLine"/>
        <w:widowControl w:val="0"/>
        <w:spacing w:after="840"/>
      </w:pPr>
      <w:r w:rsidRPr="006264C4">
        <w:t>Memorandum</w:t>
      </w:r>
    </w:p>
    <w:p w14:paraId="64A9FD59" w14:textId="1C999C01" w:rsidR="00197FE6" w:rsidRPr="006264C4" w:rsidRDefault="00197FE6" w:rsidP="00197FE6">
      <w:pPr>
        <w:pStyle w:val="NoSpacing"/>
        <w:widowControl w:val="0"/>
      </w:pPr>
      <w:r w:rsidRPr="006264C4">
        <w:t>TO:</w:t>
      </w:r>
      <w:r w:rsidRPr="006264C4">
        <w:tab/>
      </w:r>
      <w:r w:rsidR="000C0B4D" w:rsidRPr="006264C4">
        <w:t>Brett Adamie</w:t>
      </w:r>
    </w:p>
    <w:p w14:paraId="68693AA9" w14:textId="77777777" w:rsidR="00197FE6" w:rsidRPr="006264C4" w:rsidRDefault="00197FE6" w:rsidP="00197FE6">
      <w:pPr>
        <w:pStyle w:val="NoSpacing"/>
        <w:widowControl w:val="0"/>
      </w:pPr>
      <w:r w:rsidRPr="006264C4">
        <w:tab/>
        <w:t>Legal Division</w:t>
      </w:r>
    </w:p>
    <w:p w14:paraId="27FC64D9" w14:textId="77777777" w:rsidR="00197FE6" w:rsidRPr="006264C4" w:rsidRDefault="00197FE6" w:rsidP="00197FE6">
      <w:pPr>
        <w:pStyle w:val="NoSpacing"/>
        <w:widowControl w:val="0"/>
      </w:pPr>
    </w:p>
    <w:p w14:paraId="18B5B18D" w14:textId="77777777" w:rsidR="00197FE6" w:rsidRPr="006264C4" w:rsidRDefault="00197FE6" w:rsidP="00197FE6">
      <w:pPr>
        <w:pStyle w:val="NoSpacing"/>
        <w:widowControl w:val="0"/>
      </w:pPr>
      <w:r w:rsidRPr="006264C4">
        <w:t>FROM:</w:t>
      </w:r>
      <w:r w:rsidRPr="006264C4">
        <w:tab/>
        <w:t>Ethan Blanchard</w:t>
      </w:r>
    </w:p>
    <w:p w14:paraId="0D692419" w14:textId="77777777" w:rsidR="00197FE6" w:rsidRPr="006264C4" w:rsidRDefault="00197FE6" w:rsidP="00197FE6">
      <w:pPr>
        <w:pStyle w:val="NoSpacing"/>
        <w:widowControl w:val="0"/>
      </w:pPr>
      <w:r w:rsidRPr="006264C4">
        <w:tab/>
        <w:t>Rate Regulation Division</w:t>
      </w:r>
    </w:p>
    <w:p w14:paraId="159A9D90" w14:textId="77777777" w:rsidR="00197FE6" w:rsidRPr="006264C4" w:rsidRDefault="00197FE6" w:rsidP="00197FE6">
      <w:pPr>
        <w:pStyle w:val="NoSpacing"/>
        <w:widowControl w:val="0"/>
      </w:pPr>
    </w:p>
    <w:p w14:paraId="679B65EA" w14:textId="07C8E4BE" w:rsidR="00197FE6" w:rsidRPr="006264C4" w:rsidRDefault="00197FE6" w:rsidP="00197FE6">
      <w:pPr>
        <w:pStyle w:val="NoSpacing"/>
        <w:widowControl w:val="0"/>
      </w:pPr>
      <w:r w:rsidRPr="006264C4">
        <w:t>DATE:</w:t>
      </w:r>
      <w:r w:rsidRPr="006264C4">
        <w:tab/>
      </w:r>
      <w:r w:rsidR="001853C8" w:rsidRPr="006264C4">
        <w:t>June 3, 2025</w:t>
      </w:r>
    </w:p>
    <w:p w14:paraId="4FA1C296" w14:textId="77777777" w:rsidR="00197FE6" w:rsidRPr="006264C4" w:rsidRDefault="00197FE6" w:rsidP="00197FE6">
      <w:pPr>
        <w:pStyle w:val="NoSpacing"/>
        <w:widowControl w:val="0"/>
      </w:pPr>
    </w:p>
    <w:p w14:paraId="0BB2C2A5" w14:textId="7A8DF51E" w:rsidR="00197FE6" w:rsidRPr="006264C4" w:rsidRDefault="00197FE6" w:rsidP="00197FE6">
      <w:pPr>
        <w:pStyle w:val="DocketStyle"/>
        <w:widowControl w:val="0"/>
        <w:rPr>
          <w:rStyle w:val="DocketStylesStyle"/>
        </w:rPr>
      </w:pPr>
      <w:r w:rsidRPr="006264C4">
        <w:t>RE:</w:t>
      </w:r>
      <w:r w:rsidRPr="006264C4">
        <w:tab/>
        <w:t xml:space="preserve">Docket No. </w:t>
      </w:r>
      <w:r w:rsidR="00284A57" w:rsidRPr="006264C4">
        <w:t>5</w:t>
      </w:r>
      <w:r w:rsidR="006264C4">
        <w:t>7984</w:t>
      </w:r>
      <w:r w:rsidRPr="006264C4">
        <w:t xml:space="preserve"> – </w:t>
      </w:r>
      <w:r w:rsidRPr="006264C4">
        <w:rPr>
          <w:rStyle w:val="DocketStylesStyle"/>
        </w:rPr>
        <w:t xml:space="preserve">Application of </w:t>
      </w:r>
      <w:r w:rsidR="001853C8" w:rsidRPr="006264C4">
        <w:rPr>
          <w:rStyle w:val="DocketStylesStyle"/>
        </w:rPr>
        <w:t>Southwestern Bell Telephone Company dba AT&amp;T Texas</w:t>
      </w:r>
      <w:r w:rsidR="002500C9" w:rsidRPr="006264C4">
        <w:rPr>
          <w:rStyle w:val="DocketStylesStyle"/>
        </w:rPr>
        <w:t xml:space="preserve"> to Amend its Certificate of Operating Authority</w:t>
      </w:r>
    </w:p>
    <w:p w14:paraId="40250836" w14:textId="330179F5" w:rsidR="00D0649A" w:rsidRPr="006264C4" w:rsidRDefault="00D0649A" w:rsidP="00D0649A">
      <w:r w:rsidRPr="006264C4">
        <w:t xml:space="preserve">On </w:t>
      </w:r>
      <w:r w:rsidR="006264C4">
        <w:t>April 17, 2025</w:t>
      </w:r>
      <w:r w:rsidRPr="006264C4">
        <w:t xml:space="preserve">, </w:t>
      </w:r>
      <w:r w:rsidR="001853C8" w:rsidRPr="006264C4">
        <w:t>Southwestern Bell Telephone Company dba AT&amp;T Texas</w:t>
      </w:r>
      <w:r w:rsidRPr="006264C4">
        <w:t xml:space="preserve"> (</w:t>
      </w:r>
      <w:r w:rsidR="001853C8" w:rsidRPr="006264C4">
        <w:t>AT&amp;T</w:t>
      </w:r>
      <w:r w:rsidR="006264C4" w:rsidRPr="006264C4">
        <w:t xml:space="preserve"> Texas</w:t>
      </w:r>
      <w:r w:rsidRPr="006264C4">
        <w:t xml:space="preserve">) filed an application to amend its certificate of operating authority (COA), No. </w:t>
      </w:r>
      <w:r w:rsidR="00864CCB" w:rsidRPr="006264C4">
        <w:t>50038</w:t>
      </w:r>
      <w:r w:rsidRPr="006264C4">
        <w:t>, to reflect a change in the geographic scope of the COA. This memo addresses the financial qualifications requirements of 16 Texas Administrative Code (TAC) § 26.111(f).</w:t>
      </w:r>
    </w:p>
    <w:p w14:paraId="3AF746FE" w14:textId="4D867711" w:rsidR="002500C9" w:rsidRPr="006264C4" w:rsidRDefault="001853C8" w:rsidP="00141BD7">
      <w:r w:rsidRPr="006264C4">
        <w:t>AT&amp;T</w:t>
      </w:r>
      <w:r w:rsidR="006264C4" w:rsidRPr="006264C4">
        <w:t xml:space="preserve"> Texas</w:t>
      </w:r>
      <w:r w:rsidR="00141BD7" w:rsidRPr="006264C4">
        <w:t xml:space="preserve"> has provided an unaudited balance sheet which demonstrates compliance with 16 TAC </w:t>
      </w:r>
      <w:r w:rsidR="00141BD7" w:rsidRPr="006264C4">
        <w:rPr>
          <w:rFonts w:cstheme="minorHAnsi"/>
        </w:rPr>
        <w:t>§</w:t>
      </w:r>
      <w:r w:rsidR="00141BD7" w:rsidRPr="006264C4">
        <w:t xml:space="preserve"> 26.111(f)(1).</w:t>
      </w:r>
      <w:r w:rsidR="00141BD7" w:rsidRPr="006264C4">
        <w:rPr>
          <w:rStyle w:val="FootnoteReference"/>
        </w:rPr>
        <w:footnoteReference w:id="2"/>
      </w:r>
      <w:r w:rsidR="00141BD7" w:rsidRPr="006264C4">
        <w:t xml:space="preserve"> Additionally, </w:t>
      </w:r>
      <w:r w:rsidRPr="006264C4">
        <w:t>AT&amp;T</w:t>
      </w:r>
      <w:r w:rsidR="006264C4" w:rsidRPr="006264C4">
        <w:t xml:space="preserve"> Texas</w:t>
      </w:r>
      <w:r w:rsidR="00141BD7" w:rsidRPr="006264C4">
        <w:t xml:space="preserve"> has provided an affidavit as required by 16 TAC </w:t>
      </w:r>
      <w:r w:rsidR="00141BD7" w:rsidRPr="006264C4">
        <w:rPr>
          <w:rFonts w:cstheme="minorHAnsi"/>
        </w:rPr>
        <w:t>§</w:t>
      </w:r>
      <w:r w:rsidR="00141BD7" w:rsidRPr="006264C4">
        <w:t xml:space="preserve"> 26.111(f)(3).</w:t>
      </w:r>
      <w:r w:rsidR="00141BD7" w:rsidRPr="006264C4">
        <w:rPr>
          <w:rStyle w:val="FootnoteReference"/>
        </w:rPr>
        <w:footnoteReference w:id="3"/>
      </w:r>
      <w:r w:rsidR="00141BD7" w:rsidRPr="006264C4">
        <w:t xml:space="preserve"> Consequently, I recommend that the application be approved from a financial perspective.</w:t>
      </w:r>
    </w:p>
    <w:p w14:paraId="63E1F8B9" w14:textId="77777777" w:rsidR="00284A57" w:rsidRPr="006264C4" w:rsidRDefault="00284A57">
      <w:pPr>
        <w:widowControl/>
        <w:spacing w:after="160" w:line="278" w:lineRule="auto"/>
        <w:ind w:firstLine="0"/>
        <w:jc w:val="left"/>
      </w:pPr>
    </w:p>
    <w:p w14:paraId="6F0FC7AB" w14:textId="77777777" w:rsidR="006F3510" w:rsidRPr="006264C4" w:rsidRDefault="006F3510" w:rsidP="008B45A7">
      <w:pPr>
        <w:widowControl/>
        <w:spacing w:after="160" w:line="278" w:lineRule="auto"/>
        <w:ind w:firstLine="0"/>
        <w:jc w:val="left"/>
      </w:pPr>
    </w:p>
    <w:sectPr w:rsidR="006F3510" w:rsidRPr="006264C4" w:rsidSect="008B45A7">
      <w:headerReference w:type="default" r:id="rId7"/>
      <w:footerReference w:type="default" r:id="rId8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B47B01" w14:textId="77777777" w:rsidR="007C3D88" w:rsidRDefault="007C3D88" w:rsidP="00AF300B">
      <w:pPr>
        <w:spacing w:after="0" w:line="240" w:lineRule="auto"/>
      </w:pPr>
      <w:r>
        <w:separator/>
      </w:r>
    </w:p>
  </w:endnote>
  <w:endnote w:type="continuationSeparator" w:id="0">
    <w:p w14:paraId="41ECEB1C" w14:textId="77777777" w:rsidR="007C3D88" w:rsidRDefault="007C3D88" w:rsidP="00AF30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E0A04B" w14:textId="77777777" w:rsidR="008B45A7" w:rsidRDefault="008B45A7">
    <w:pPr>
      <w:pStyle w:val="Footer"/>
    </w:pPr>
    <w:r>
      <w:t xml:space="preserve">Page </w:t>
    </w: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C27550" w14:textId="77777777" w:rsidR="007C3D88" w:rsidRDefault="007C3D88" w:rsidP="00AF300B">
      <w:pPr>
        <w:spacing w:after="0" w:line="240" w:lineRule="auto"/>
        <w:ind w:firstLine="0"/>
      </w:pPr>
      <w:r>
        <w:separator/>
      </w:r>
    </w:p>
  </w:footnote>
  <w:footnote w:type="continuationSeparator" w:id="0">
    <w:p w14:paraId="781F098D" w14:textId="77777777" w:rsidR="007C3D88" w:rsidRDefault="007C3D88" w:rsidP="00AF300B">
      <w:pPr>
        <w:spacing w:after="0" w:line="240" w:lineRule="auto"/>
        <w:ind w:firstLine="0"/>
      </w:pPr>
      <w:r>
        <w:continuationSeparator/>
      </w:r>
    </w:p>
  </w:footnote>
  <w:footnote w:type="continuationNotice" w:id="1">
    <w:p w14:paraId="7929ECCE" w14:textId="77777777" w:rsidR="007C3D88" w:rsidRDefault="007C3D88" w:rsidP="00AF300B">
      <w:pPr>
        <w:spacing w:after="0" w:line="240" w:lineRule="auto"/>
        <w:ind w:firstLine="0"/>
      </w:pPr>
    </w:p>
  </w:footnote>
  <w:footnote w:id="2">
    <w:p w14:paraId="00548F79" w14:textId="026A5A65" w:rsidR="00141BD7" w:rsidRDefault="00141BD7" w:rsidP="00141BD7">
      <w:pPr>
        <w:pStyle w:val="FootnoteText"/>
        <w:spacing w:after="120"/>
      </w:pPr>
      <w:r>
        <w:rPr>
          <w:rStyle w:val="FootnoteReference"/>
        </w:rPr>
        <w:footnoteRef/>
      </w:r>
      <w:r>
        <w:t xml:space="preserve"> </w:t>
      </w:r>
      <w:r w:rsidR="00B554F7">
        <w:t xml:space="preserve"> </w:t>
      </w:r>
      <w:r w:rsidR="00B554F7" w:rsidRPr="00B554F7">
        <w:t>Docket No. 57984 – Application of Southwestern Bell Telephone Company, LLC DBA AT&amp;T Texas to Amend Its Certificate of Operating Authority</w:t>
      </w:r>
      <w:r w:rsidR="00B554F7">
        <w:t xml:space="preserve"> at 7, AIS item no. 2 (Apr. 21, 2025).</w:t>
      </w:r>
    </w:p>
  </w:footnote>
  <w:footnote w:id="3">
    <w:p w14:paraId="4710B2DA" w14:textId="0AFD4432" w:rsidR="00141BD7" w:rsidRPr="004C5CB6" w:rsidRDefault="00141BD7" w:rsidP="00141BD7">
      <w:pPr>
        <w:pStyle w:val="FootnoteText"/>
        <w:spacing w:after="120"/>
      </w:pPr>
      <w:r>
        <w:rPr>
          <w:rStyle w:val="FootnoteReference"/>
        </w:rPr>
        <w:footnoteRef/>
      </w:r>
      <w:r>
        <w:t xml:space="preserve"> </w:t>
      </w:r>
      <w:r w:rsidR="00B554F7">
        <w:t xml:space="preserve"> </w:t>
      </w:r>
      <w:r w:rsidR="004C5CB6">
        <w:rPr>
          <w:i/>
          <w:iCs/>
        </w:rPr>
        <w:t>Id.</w:t>
      </w:r>
      <w:r w:rsidR="004C5CB6">
        <w:t xml:space="preserve"> at 4.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6BCBA1" w14:textId="77777777" w:rsidR="008B45A7" w:rsidRDefault="008B45A7">
    <w:pPr>
      <w:pStyle w:val="Header"/>
    </w:pPr>
    <w:r>
      <w:t xml:space="preserve">Docket No. </w:t>
    </w:r>
    <w:r w:rsidR="00284A57">
      <w:t>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3D88"/>
    <w:rsid w:val="00093B48"/>
    <w:rsid w:val="000C0B4D"/>
    <w:rsid w:val="000E1483"/>
    <w:rsid w:val="000F16C4"/>
    <w:rsid w:val="00141BD7"/>
    <w:rsid w:val="001853C8"/>
    <w:rsid w:val="00197FE6"/>
    <w:rsid w:val="001F315D"/>
    <w:rsid w:val="002146AE"/>
    <w:rsid w:val="002500C9"/>
    <w:rsid w:val="00263EAA"/>
    <w:rsid w:val="00273394"/>
    <w:rsid w:val="00284A57"/>
    <w:rsid w:val="00361C26"/>
    <w:rsid w:val="0039573E"/>
    <w:rsid w:val="003A76A1"/>
    <w:rsid w:val="003B0EBF"/>
    <w:rsid w:val="003D4CA1"/>
    <w:rsid w:val="00405B0F"/>
    <w:rsid w:val="004C5CB6"/>
    <w:rsid w:val="004F5972"/>
    <w:rsid w:val="00531B00"/>
    <w:rsid w:val="00535A83"/>
    <w:rsid w:val="005601BA"/>
    <w:rsid w:val="005A7034"/>
    <w:rsid w:val="005E62CB"/>
    <w:rsid w:val="005F19C5"/>
    <w:rsid w:val="006264C4"/>
    <w:rsid w:val="006F3510"/>
    <w:rsid w:val="007779AA"/>
    <w:rsid w:val="0079686C"/>
    <w:rsid w:val="007B4487"/>
    <w:rsid w:val="007C3D88"/>
    <w:rsid w:val="00864CCB"/>
    <w:rsid w:val="00880522"/>
    <w:rsid w:val="008B45A7"/>
    <w:rsid w:val="008D6E63"/>
    <w:rsid w:val="009A75DB"/>
    <w:rsid w:val="00A04188"/>
    <w:rsid w:val="00A05A9C"/>
    <w:rsid w:val="00A82B16"/>
    <w:rsid w:val="00AA20E0"/>
    <w:rsid w:val="00AB0C18"/>
    <w:rsid w:val="00AD0076"/>
    <w:rsid w:val="00AF300B"/>
    <w:rsid w:val="00AF6AF5"/>
    <w:rsid w:val="00B04D79"/>
    <w:rsid w:val="00B554F7"/>
    <w:rsid w:val="00B82271"/>
    <w:rsid w:val="00BA248F"/>
    <w:rsid w:val="00BC7A8B"/>
    <w:rsid w:val="00C332A4"/>
    <w:rsid w:val="00C8472D"/>
    <w:rsid w:val="00CA46EB"/>
    <w:rsid w:val="00CD536C"/>
    <w:rsid w:val="00D0649A"/>
    <w:rsid w:val="00DA31B0"/>
    <w:rsid w:val="00DC5D45"/>
    <w:rsid w:val="00DD2297"/>
    <w:rsid w:val="00E07C1A"/>
    <w:rsid w:val="00F84639"/>
    <w:rsid w:val="00FD60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6D3DDF4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/>
    <w:lsdException w:name="index 2" w:semiHidden="1"/>
    <w:lsdException w:name="index 3" w:semiHidden="1"/>
    <w:lsdException w:name="index 4" w:semiHidden="1"/>
    <w:lsdException w:name="index 5" w:semiHidden="1"/>
    <w:lsdException w:name="index 6" w:semiHidden="1"/>
    <w:lsdException w:name="index 7" w:semiHidden="1"/>
    <w:lsdException w:name="index 8" w:semiHidden="1"/>
    <w:lsdException w:name="index 9" w:semiHidden="1"/>
    <w:lsdException w:name="toc 1" w:semiHidden="1" w:uiPriority="39"/>
    <w:lsdException w:name="toc 2" w:semiHidden="1" w:uiPriority="39"/>
    <w:lsdException w:name="toc 3" w:semiHidden="1" w:uiPriority="39"/>
    <w:lsdException w:name="toc 4" w:semiHidden="1" w:uiPriority="39"/>
    <w:lsdException w:name="toc 5" w:semiHidden="1" w:uiPriority="39"/>
    <w:lsdException w:name="toc 6" w:semiHidden="1" w:uiPriority="39"/>
    <w:lsdException w:name="toc 7" w:semiHidden="1" w:uiPriority="39"/>
    <w:lsdException w:name="toc 8" w:semiHidden="1" w:uiPriority="39"/>
    <w:lsdException w:name="toc 9" w:semiHidden="1" w:uiPriority="39"/>
    <w:lsdException w:name="Normal Indent" w:semiHidden="1"/>
    <w:lsdException w:name="footnote text" w:semiHidden="1"/>
    <w:lsdException w:name="annotation text" w:semiHidden="1"/>
    <w:lsdException w:name="header" w:semiHidden="1" w:qFormat="1"/>
    <w:lsdException w:name="footer" w:semiHidden="1" w:qFormat="1"/>
    <w:lsdException w:name="index heading" w:semiHidden="1"/>
    <w:lsdException w:name="caption" w:semiHidden="1" w:uiPriority="35" w:qFormat="1"/>
    <w:lsdException w:name="table of figures" w:semiHidden="1"/>
    <w:lsdException w:name="envelope address" w:semiHidden="1"/>
    <w:lsdException w:name="envelope return" w:semiHidden="1"/>
    <w:lsdException w:name="footnote reference" w:semiHidden="1"/>
    <w:lsdException w:name="annotation reference" w:semiHidden="1"/>
    <w:lsdException w:name="line number" w:semiHidden="1"/>
    <w:lsdException w:name="page number" w:semiHidden="1"/>
    <w:lsdException w:name="endnote reference" w:semiHidden="1"/>
    <w:lsdException w:name="endnote text" w:semiHidden="1"/>
    <w:lsdException w:name="table of authorities" w:semiHidden="1"/>
    <w:lsdException w:name="macro" w:semiHidden="1"/>
    <w:lsdException w:name="toa heading" w:semiHidden="1"/>
    <w:lsdException w:name="List" w:semiHidden="1"/>
    <w:lsdException w:name="List Bullet" w:semiHidden="1"/>
    <w:lsdException w:name="List Number" w:semiHidden="1"/>
    <w:lsdException w:name="List 2" w:semiHidden="1"/>
    <w:lsdException w:name="List 3" w:semiHidden="1"/>
    <w:lsdException w:name="List 4" w:semiHidden="1"/>
    <w:lsdException w:name="List 5" w:semiHidden="1"/>
    <w:lsdException w:name="List Bullet 2" w:semiHidden="1"/>
    <w:lsdException w:name="List Bullet 3" w:semiHidden="1"/>
    <w:lsdException w:name="List Bullet 4" w:semiHidden="1"/>
    <w:lsdException w:name="List Bullet 5" w:semiHidden="1"/>
    <w:lsdException w:name="List Number 2" w:semiHidden="1"/>
    <w:lsdException w:name="List Number 3" w:semiHidden="1"/>
    <w:lsdException w:name="List Number 4" w:semiHidden="1"/>
    <w:lsdException w:name="List Number 5" w:semiHidden="1"/>
    <w:lsdException w:name="Title" w:uiPriority="10"/>
    <w:lsdException w:name="Closing" w:semiHidden="1"/>
    <w:lsdException w:name="Signature" w:semiHidden="1"/>
    <w:lsdException w:name="Default Paragraph Font" w:semiHidden="1" w:uiPriority="1" w:unhideWhenUsed="1"/>
    <w:lsdException w:name="Body Text" w:semiHidden="1"/>
    <w:lsdException w:name="Body Text Indent" w:semiHidden="1"/>
    <w:lsdException w:name="List Continue" w:semiHidden="1"/>
    <w:lsdException w:name="List Continue 2" w:semiHidden="1"/>
    <w:lsdException w:name="List Continue 3" w:semiHidden="1"/>
    <w:lsdException w:name="List Continue 4" w:semiHidden="1"/>
    <w:lsdException w:name="List Continue 5" w:semiHidden="1"/>
    <w:lsdException w:name="Message Header" w:semiHidden="1"/>
    <w:lsdException w:name="Subtitle" w:uiPriority="11"/>
    <w:lsdException w:name="Salutation" w:semiHidden="1"/>
    <w:lsdException w:name="Date" w:semiHidden="1"/>
    <w:lsdException w:name="Body Text First Indent" w:semiHidden="1"/>
    <w:lsdException w:name="Body Text First Indent 2" w:semiHidden="1"/>
    <w:lsdException w:name="Note Heading" w:semiHidden="1"/>
    <w:lsdException w:name="Body Text 2" w:semiHidden="1"/>
    <w:lsdException w:name="Body Text 3" w:semiHidden="1"/>
    <w:lsdException w:name="Body Text Indent 2" w:semiHidden="1"/>
    <w:lsdException w:name="Body Text Indent 3" w:semiHidden="1"/>
    <w:lsdException w:name="Block Text" w:semiHidden="1"/>
    <w:lsdException w:name="Hyperlink" w:semiHidden="1"/>
    <w:lsdException w:name="FollowedHyperlink" w:semiHidden="1"/>
    <w:lsdException w:name="Strong" w:semiHidden="1" w:uiPriority="22"/>
    <w:lsdException w:name="Emphasis" w:semiHidden="1" w:uiPriority="20"/>
    <w:lsdException w:name="Document Map" w:semiHidden="1"/>
    <w:lsdException w:name="Plain Text" w:semiHidden="1"/>
    <w:lsdException w:name="E-mail Signature" w:semiHidden="1"/>
    <w:lsdException w:name="HTML Top of Form" w:semiHidden="1" w:unhideWhenUsed="1"/>
    <w:lsdException w:name="HTML Bottom of Form" w:semiHidden="1" w:unhideWhenUsed="1"/>
    <w:lsdException w:name="Normal (Web)" w:semiHidden="1"/>
    <w:lsdException w:name="HTML Acronym" w:semiHidden="1"/>
    <w:lsdException w:name="HTML Address" w:semiHidden="1"/>
    <w:lsdException w:name="HTML Cite" w:semiHidden="1"/>
    <w:lsdException w:name="HTML Code" w:semiHidden="1"/>
    <w:lsdException w:name="HTML Definition" w:semiHidden="1"/>
    <w:lsdException w:name="HTML Keyboard" w:semiHidden="1"/>
    <w:lsdException w:name="HTML Preformatted" w:semiHidden="1"/>
    <w:lsdException w:name="HTML Sample" w:semiHidden="1"/>
    <w:lsdException w:name="HTML Typewriter" w:semiHidden="1"/>
    <w:lsdException w:name="HTML Variable" w:semiHidden="1"/>
    <w:lsdException w:name="Normal Table" w:semiHidden="1" w:unhideWhenUsed="1"/>
    <w:lsdException w:name="annotation subject" w:semiHidden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uiPriority="39"/>
    <w:lsdException w:name="Table Theme" w:semiHidden="1" w:unhideWhenUsed="1"/>
    <w:lsdException w:name="Placeholder Text" w:semiHidden="1"/>
    <w:lsdException w:name="No Spacing" w:uiPriority="2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/>
    <w:lsdException w:name="Intense Emphasis" w:uiPriority="21"/>
    <w:lsdException w:name="Subtle Reference" w:semiHidden="1" w:uiPriority="31"/>
    <w:lsdException w:name="Intense Reference" w:uiPriority="32"/>
    <w:lsdException w:name="Book Title" w:semiHidden="1" w:uiPriority="33"/>
    <w:lsdException w:name="Bibliography" w:semiHidden="1" w:uiPriority="37"/>
    <w:lsdException w:name="TOC Heading" w:semiHidden="1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/>
    <w:lsdException w:name="Smart Hyperlink" w:semiHidden="1"/>
    <w:lsdException w:name="Hashtag" w:semiHidden="1"/>
    <w:lsdException w:name="Unresolved Mention" w:semiHidden="1"/>
    <w:lsdException w:name="Smart Link" w:semiHidden="1"/>
  </w:latentStyles>
  <w:style w:type="paragraph" w:default="1" w:styleId="Normal">
    <w:name w:val="Normal"/>
    <w:qFormat/>
    <w:rsid w:val="00D0649A"/>
    <w:pPr>
      <w:widowControl w:val="0"/>
      <w:spacing w:after="120" w:line="360" w:lineRule="auto"/>
      <w:ind w:firstLine="720"/>
      <w:jc w:val="both"/>
    </w:pPr>
  </w:style>
  <w:style w:type="paragraph" w:styleId="Heading1">
    <w:name w:val="heading 1"/>
    <w:basedOn w:val="Normal"/>
    <w:next w:val="Normal"/>
    <w:link w:val="Heading1Char"/>
    <w:uiPriority w:val="9"/>
    <w:qFormat/>
    <w:rsid w:val="005A7034"/>
    <w:pPr>
      <w:keepNext/>
      <w:keepLines/>
      <w:ind w:firstLine="0"/>
      <w:outlineLvl w:val="0"/>
    </w:pPr>
    <w:rPr>
      <w:rFonts w:eastAsiaTheme="majorEastAsia" w:cstheme="majorBidi"/>
      <w:b/>
      <w:bCs/>
      <w:i/>
      <w:iCs/>
    </w:rPr>
  </w:style>
  <w:style w:type="paragraph" w:styleId="Heading2">
    <w:name w:val="heading 2"/>
    <w:basedOn w:val="Normal"/>
    <w:next w:val="Normal"/>
    <w:link w:val="Heading2Char"/>
    <w:uiPriority w:val="9"/>
    <w:semiHidden/>
    <w:rsid w:val="00C332A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5F00BF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qFormat/>
    <w:rsid w:val="00263EAA"/>
    <w:pPr>
      <w:keepNext/>
      <w:keepLines/>
      <w:spacing w:before="160" w:after="80"/>
      <w:outlineLvl w:val="2"/>
    </w:pPr>
    <w:rPr>
      <w:rFonts w:eastAsiaTheme="majorEastAsia" w:cstheme="majorBidi"/>
      <w:color w:val="5F00BF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qFormat/>
    <w:rsid w:val="00263EA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5F00BF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qFormat/>
    <w:rsid w:val="00263EAA"/>
    <w:pPr>
      <w:keepNext/>
      <w:keepLines/>
      <w:spacing w:before="80" w:after="40"/>
      <w:outlineLvl w:val="4"/>
    </w:pPr>
    <w:rPr>
      <w:rFonts w:eastAsiaTheme="majorEastAsia" w:cstheme="majorBidi"/>
      <w:color w:val="5F00BF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qFormat/>
    <w:rsid w:val="00263EA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qFormat/>
    <w:rsid w:val="00263EA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qFormat/>
    <w:rsid w:val="00263EA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qFormat/>
    <w:rsid w:val="00263EA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PUCTLine">
    <w:name w:val="PUCT Line"/>
    <w:next w:val="MemoLine"/>
    <w:uiPriority w:val="5"/>
    <w:qFormat/>
    <w:rsid w:val="00263EAA"/>
    <w:pPr>
      <w:spacing w:after="120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40"/>
      <w:szCs w:val="40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63EAA"/>
    <w:rPr>
      <w:rFonts w:eastAsiaTheme="majorEastAsia" w:cstheme="majorBidi"/>
      <w:color w:val="5F00BF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63EAA"/>
    <w:rPr>
      <w:rFonts w:eastAsiaTheme="majorEastAsia" w:cstheme="majorBidi"/>
      <w:i/>
      <w:iCs/>
      <w:color w:val="5F00BF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63EAA"/>
    <w:rPr>
      <w:rFonts w:eastAsiaTheme="majorEastAsia" w:cstheme="majorBidi"/>
      <w:color w:val="5F00BF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63EAA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63EAA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63EAA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63EAA"/>
    <w:rPr>
      <w:rFonts w:eastAsiaTheme="majorEastAsia" w:cstheme="majorBidi"/>
      <w:color w:val="272727" w:themeColor="text1" w:themeTint="D8"/>
    </w:rPr>
  </w:style>
  <w:style w:type="character" w:customStyle="1" w:styleId="Heading1Char">
    <w:name w:val="Heading 1 Char"/>
    <w:basedOn w:val="DefaultParagraphFont"/>
    <w:link w:val="Heading1"/>
    <w:uiPriority w:val="9"/>
    <w:rsid w:val="005A7034"/>
    <w:rPr>
      <w:rFonts w:eastAsiaTheme="majorEastAsia" w:cstheme="majorBidi"/>
      <w:b/>
      <w:bCs/>
      <w:i/>
      <w:iCs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332A4"/>
    <w:rPr>
      <w:rFonts w:asciiTheme="majorHAnsi" w:eastAsiaTheme="majorEastAsia" w:hAnsiTheme="majorHAnsi" w:cstheme="majorBidi"/>
      <w:color w:val="5F00BF" w:themeColor="accent1" w:themeShade="BF"/>
      <w:sz w:val="32"/>
      <w:szCs w:val="32"/>
    </w:rPr>
  </w:style>
  <w:style w:type="paragraph" w:styleId="Title">
    <w:name w:val="Title"/>
    <w:basedOn w:val="Normal"/>
    <w:next w:val="Normal"/>
    <w:link w:val="TitleChar"/>
    <w:uiPriority w:val="10"/>
    <w:semiHidden/>
    <w:rsid w:val="00C332A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semiHidden/>
    <w:rsid w:val="00C332A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semiHidden/>
    <w:rsid w:val="00C332A4"/>
    <w:pPr>
      <w:numPr>
        <w:ilvl w:val="1"/>
      </w:numPr>
      <w:ind w:firstLine="72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semiHidden/>
    <w:rsid w:val="00C332A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ListParagraph">
    <w:name w:val="List Paragraph"/>
    <w:basedOn w:val="Normal"/>
    <w:uiPriority w:val="34"/>
    <w:semiHidden/>
    <w:rsid w:val="00C332A4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semiHidden/>
    <w:rsid w:val="00C332A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semiHidden/>
    <w:rsid w:val="00C332A4"/>
    <w:rPr>
      <w:i/>
      <w:iCs/>
      <w:color w:val="404040" w:themeColor="text1" w:themeTint="BF"/>
    </w:rPr>
  </w:style>
  <w:style w:type="paragraph" w:styleId="IntenseQuote">
    <w:name w:val="Intense Quote"/>
    <w:basedOn w:val="Normal"/>
    <w:next w:val="Normal"/>
    <w:link w:val="IntenseQuoteChar"/>
    <w:uiPriority w:val="30"/>
    <w:semiHidden/>
    <w:rsid w:val="00C332A4"/>
    <w:pPr>
      <w:pBdr>
        <w:top w:val="single" w:sz="4" w:space="10" w:color="5F00BF" w:themeColor="accent1" w:themeShade="BF"/>
        <w:bottom w:val="single" w:sz="4" w:space="10" w:color="5F00BF" w:themeColor="accent1" w:themeShade="BF"/>
      </w:pBdr>
      <w:spacing w:before="360" w:after="360"/>
      <w:ind w:left="864" w:right="864"/>
      <w:jc w:val="center"/>
    </w:pPr>
    <w:rPr>
      <w:i/>
      <w:iCs/>
      <w:color w:val="5F00BF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C332A4"/>
    <w:rPr>
      <w:i/>
      <w:iCs/>
      <w:color w:val="5F00BF" w:themeColor="accent1" w:themeShade="BF"/>
    </w:rPr>
  </w:style>
  <w:style w:type="character" w:styleId="IntenseEmphasis">
    <w:name w:val="Intense Emphasis"/>
    <w:basedOn w:val="DefaultParagraphFont"/>
    <w:uiPriority w:val="21"/>
    <w:semiHidden/>
    <w:rsid w:val="00C332A4"/>
    <w:rPr>
      <w:i/>
      <w:iCs/>
      <w:color w:val="5F00BF" w:themeColor="accent1" w:themeShade="BF"/>
    </w:rPr>
  </w:style>
  <w:style w:type="character" w:styleId="IntenseReference">
    <w:name w:val="Intense Reference"/>
    <w:basedOn w:val="DefaultParagraphFont"/>
    <w:uiPriority w:val="32"/>
    <w:semiHidden/>
    <w:rsid w:val="00C332A4"/>
    <w:rPr>
      <w:b/>
      <w:bCs/>
      <w:smallCaps/>
      <w:color w:val="5F00BF" w:themeColor="accent1" w:themeShade="BF"/>
      <w:spacing w:val="5"/>
    </w:rPr>
  </w:style>
  <w:style w:type="paragraph" w:customStyle="1" w:styleId="MemoLine">
    <w:name w:val="Memo Line"/>
    <w:next w:val="NoSpacing"/>
    <w:uiPriority w:val="4"/>
    <w:qFormat/>
    <w:rsid w:val="00263EAA"/>
    <w:pPr>
      <w:spacing w:before="120" w:after="960" w:line="240" w:lineRule="auto"/>
      <w:jc w:val="center"/>
    </w:pPr>
    <w:rPr>
      <w:b/>
      <w:bCs/>
      <w:sz w:val="40"/>
      <w:szCs w:val="40"/>
    </w:rPr>
  </w:style>
  <w:style w:type="paragraph" w:customStyle="1" w:styleId="DocketStyle">
    <w:name w:val="Docket Style"/>
    <w:basedOn w:val="NoSpacing"/>
    <w:next w:val="Normal"/>
    <w:uiPriority w:val="3"/>
    <w:qFormat/>
    <w:rsid w:val="00263EAA"/>
    <w:pPr>
      <w:pBdr>
        <w:bottom w:val="single" w:sz="12" w:space="6" w:color="auto"/>
      </w:pBdr>
      <w:spacing w:after="240"/>
    </w:pPr>
  </w:style>
  <w:style w:type="paragraph" w:styleId="NoSpacing">
    <w:name w:val="No Spacing"/>
    <w:uiPriority w:val="2"/>
    <w:qFormat/>
    <w:rsid w:val="00263EAA"/>
    <w:pPr>
      <w:spacing w:after="0" w:line="240" w:lineRule="auto"/>
      <w:ind w:left="1440" w:hanging="1440"/>
      <w:jc w:val="both"/>
    </w:pPr>
  </w:style>
  <w:style w:type="paragraph" w:customStyle="1" w:styleId="BlockQuote">
    <w:name w:val="Block Quote"/>
    <w:next w:val="Normal"/>
    <w:uiPriority w:val="1"/>
    <w:qFormat/>
    <w:rsid w:val="00263EAA"/>
    <w:pPr>
      <w:spacing w:after="240" w:line="240" w:lineRule="auto"/>
      <w:ind w:left="1440" w:right="1440"/>
      <w:jc w:val="both"/>
    </w:pPr>
  </w:style>
  <w:style w:type="paragraph" w:styleId="FootnoteText">
    <w:name w:val="footnote text"/>
    <w:basedOn w:val="Normal"/>
    <w:link w:val="FootnoteTextChar"/>
    <w:uiPriority w:val="99"/>
    <w:semiHidden/>
    <w:rsid w:val="00C332A4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C332A4"/>
    <w:rPr>
      <w:sz w:val="20"/>
      <w:szCs w:val="20"/>
    </w:rPr>
  </w:style>
  <w:style w:type="paragraph" w:styleId="Header">
    <w:name w:val="header"/>
    <w:link w:val="HeaderChar"/>
    <w:uiPriority w:val="99"/>
    <w:rsid w:val="00C332A4"/>
    <w:pPr>
      <w:tabs>
        <w:tab w:val="center" w:pos="4680"/>
        <w:tab w:val="right" w:pos="9360"/>
      </w:tabs>
      <w:spacing w:after="0" w:line="240" w:lineRule="auto"/>
      <w:jc w:val="right"/>
    </w:pPr>
    <w:rPr>
      <w:b/>
      <w:bCs/>
      <w:sz w:val="20"/>
      <w:szCs w:val="20"/>
    </w:rPr>
  </w:style>
  <w:style w:type="character" w:customStyle="1" w:styleId="HeaderChar">
    <w:name w:val="Header Char"/>
    <w:basedOn w:val="DefaultParagraphFont"/>
    <w:link w:val="Header"/>
    <w:uiPriority w:val="99"/>
    <w:rsid w:val="00C332A4"/>
    <w:rPr>
      <w:b/>
      <w:bCs/>
      <w:sz w:val="20"/>
      <w:szCs w:val="20"/>
    </w:rPr>
  </w:style>
  <w:style w:type="paragraph" w:styleId="Footer">
    <w:name w:val="footer"/>
    <w:link w:val="FooterChar"/>
    <w:uiPriority w:val="99"/>
    <w:rsid w:val="00C332A4"/>
    <w:pPr>
      <w:tabs>
        <w:tab w:val="center" w:pos="4680"/>
        <w:tab w:val="right" w:pos="9360"/>
      </w:tabs>
      <w:spacing w:after="0" w:line="240" w:lineRule="auto"/>
      <w:jc w:val="right"/>
    </w:pPr>
    <w:rPr>
      <w:b/>
      <w:bCs/>
      <w:noProof/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rsid w:val="00C332A4"/>
    <w:rPr>
      <w:b/>
      <w:bCs/>
      <w:noProof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rsid w:val="00C332A4"/>
    <w:rPr>
      <w:vertAlign w:val="superscript"/>
    </w:rPr>
  </w:style>
  <w:style w:type="character" w:customStyle="1" w:styleId="DocketStylesStyle">
    <w:name w:val="Docket Style's Style"/>
    <w:uiPriority w:val="3"/>
    <w:rsid w:val="00C332A4"/>
    <w:rPr>
      <w:rFonts w:asciiTheme="minorHAnsi" w:hAnsiTheme="minorHAnsi"/>
      <w:i/>
      <w:iCs/>
      <w:sz w:val="24"/>
    </w:rPr>
  </w:style>
  <w:style w:type="paragraph" w:styleId="Revision">
    <w:name w:val="Revision"/>
    <w:hidden/>
    <w:uiPriority w:val="99"/>
    <w:semiHidden/>
    <w:rsid w:val="00361C2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1.jpeg"/></Relationships>
</file>

<file path=word/theme/theme1.xml><?xml version="1.0" encoding="utf-8"?>
<a:theme xmlns:a="http://schemas.openxmlformats.org/drawingml/2006/main" name="Blanchard 10">
  <a:themeElements>
    <a:clrScheme name="Blanchard 10">
      <a:dk1>
        <a:sysClr val="windowText" lastClr="000000"/>
      </a:dk1>
      <a:lt1>
        <a:sysClr val="window" lastClr="FFFFFF"/>
      </a:lt1>
      <a:dk2>
        <a:srgbClr val="6C5436"/>
      </a:dk2>
      <a:lt2>
        <a:srgbClr val="FF00FF"/>
      </a:lt2>
      <a:accent1>
        <a:srgbClr val="8000FF"/>
      </a:accent1>
      <a:accent2>
        <a:srgbClr val="0000FF"/>
      </a:accent2>
      <a:accent3>
        <a:srgbClr val="468C1E"/>
      </a:accent3>
      <a:accent4>
        <a:srgbClr val="FFFF00"/>
      </a:accent4>
      <a:accent5>
        <a:srgbClr val="FF8000"/>
      </a:accent5>
      <a:accent6>
        <a:srgbClr val="FF0000"/>
      </a:accent6>
      <a:hlink>
        <a:srgbClr val="0563C1"/>
      </a:hlink>
      <a:folHlink>
        <a:srgbClr val="954F72"/>
      </a:folHlink>
    </a:clrScheme>
    <a:fontScheme name="Blanchard">
      <a:majorFont>
        <a:latin typeface="Century Gothic"/>
        <a:ea typeface=""/>
        <a:cs typeface=""/>
      </a:majorFont>
      <a:minorFont>
        <a:latin typeface="Times New Roman"/>
        <a:ea typeface=""/>
        <a:cs typeface=""/>
      </a:minorFont>
    </a:fontScheme>
    <a:fmtScheme name="Ion">
      <a:fillStyleLst>
        <a:solidFill>
          <a:schemeClr val="phClr"/>
        </a:solidFill>
        <a:gradFill rotWithShape="1">
          <a:gsLst>
            <a:gs pos="0">
              <a:schemeClr val="phClr">
                <a:tint val="64000"/>
                <a:lumMod val="118000"/>
              </a:schemeClr>
            </a:gs>
            <a:gs pos="100000">
              <a:schemeClr val="phClr">
                <a:tint val="92000"/>
                <a:alpha val="100000"/>
                <a:lumMod val="110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tint val="98000"/>
                <a:lumMod val="114000"/>
              </a:schemeClr>
            </a:gs>
            <a:gs pos="100000">
              <a:schemeClr val="phClr">
                <a:shade val="90000"/>
                <a:lumMod val="84000"/>
              </a:schemeClr>
            </a:gs>
          </a:gsLst>
          <a:lin ang="5400000" scaled="0"/>
        </a:gradFill>
      </a:fillStyleLst>
      <a:lnStyleLst>
        <a:ln w="9525" cap="rnd" cmpd="sng" algn="ctr">
          <a:solidFill>
            <a:schemeClr val="phClr"/>
          </a:solidFill>
          <a:prstDash val="solid"/>
        </a:ln>
        <a:ln w="19050" cap="rnd" cmpd="sng" algn="ctr">
          <a:solidFill>
            <a:schemeClr val="phClr"/>
          </a:solidFill>
          <a:prstDash val="solid"/>
        </a:ln>
        <a:ln w="28575" cap="rnd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outerShdw blurRad="38100" dist="25400" dir="5400000" rotWithShape="0">
              <a:srgbClr val="000000">
                <a:alpha val="45000"/>
              </a:srgbClr>
            </a:outerShdw>
          </a:effectLst>
        </a:effectStyle>
        <a:effectStyle>
          <a:effectLst>
            <a:outerShdw blurRad="63500" dist="38100" dir="5400000" rotWithShape="0">
              <a:srgbClr val="000000">
                <a:alpha val="60000"/>
              </a:srgbClr>
            </a:outerShdw>
          </a:effectLst>
          <a:scene3d>
            <a:camera prst="orthographicFront">
              <a:rot lat="0" lon="0" rev="0"/>
            </a:camera>
            <a:lightRig rig="threePt" dir="tl"/>
          </a:scene3d>
          <a:sp3d prstMaterial="plastic">
            <a:bevelT w="0" h="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97000"/>
                <a:hueMod val="88000"/>
                <a:satMod val="130000"/>
                <a:lumMod val="124000"/>
              </a:schemeClr>
            </a:gs>
            <a:gs pos="100000">
              <a:schemeClr val="phClr">
                <a:tint val="96000"/>
                <a:shade val="88000"/>
                <a:hueMod val="108000"/>
                <a:satMod val="164000"/>
                <a:lumMod val="76000"/>
              </a:schemeClr>
            </a:gs>
          </a:gsLst>
          <a:path path="circle">
            <a:fillToRect l="45000" t="65000" r="125000" b="100000"/>
          </a:path>
        </a:gradFill>
        <a:blipFill rotWithShape="1">
          <a:blip xmlns:r="http://schemas.openxmlformats.org/officeDocument/2006/relationships" r:embed="rId1">
            <a:duotone>
              <a:schemeClr val="phClr">
                <a:shade val="69000"/>
                <a:hueMod val="108000"/>
                <a:satMod val="164000"/>
                <a:lumMod val="74000"/>
              </a:schemeClr>
              <a:schemeClr val="phClr">
                <a:tint val="96000"/>
                <a:hueMod val="88000"/>
                <a:satMod val="140000"/>
                <a:lumMod val="132000"/>
              </a:schemeClr>
            </a:duotone>
          </a:blip>
          <a:stretch/>
        </a:blip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Ion" id="{B8441ADB-2E43-4AF7-B97A-BD870242C6A8}" vid="{292E63A9-BB86-4E3D-B92A-7223C6510D2E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2A3E3C-8896-487E-984D-11569C2466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136</Words>
  <Characters>781</Characters>
  <Application>Microsoft Office Word</Application>
  <DocSecurity>0</DocSecurity>
  <Lines>6</Lines>
  <Paragraphs>1</Paragraphs>
  <ScaleCrop>false</ScaleCrop>
  <Company/>
  <LinksUpToDate>false</LinksUpToDate>
  <CharactersWithSpaces>916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2025-06-03T15:47:00Z</dcterms:created>
  <dcterms:modified xsi:type="dcterms:W3CDTF">2025-06-03T15:47:00Z</dcterms:modified>
</cp:coreProperties>
</file>